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CA0E" w14:textId="77777777" w:rsidR="00E97E80" w:rsidRPr="005707D0" w:rsidRDefault="00E97E80" w:rsidP="00E97E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bookmarkStart w:id="0" w:name="_GoBack"/>
      <w:bookmarkEnd w:id="0"/>
      <w:r w:rsidRPr="005707D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 получении кодов маркировки российского образца у национального оператора системы маркировки РУП «Издательство «</w:t>
      </w:r>
      <w:proofErr w:type="spellStart"/>
      <w:r w:rsidRPr="005707D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Белбланкавыд</w:t>
      </w:r>
      <w:proofErr w:type="spellEnd"/>
      <w:r w:rsidRPr="005707D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»</w:t>
      </w:r>
    </w:p>
    <w:p w14:paraId="57EF4836" w14:textId="77777777" w:rsidR="00022DFE" w:rsidRPr="005707D0" w:rsidRDefault="00022DFE" w:rsidP="00F85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A1106B" w14:textId="3E3DA704" w:rsidR="00022DFE" w:rsidRPr="005707D0" w:rsidRDefault="00022DFE" w:rsidP="00F85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707D0">
        <w:rPr>
          <w:rFonts w:ascii="Times New Roman" w:hAnsi="Times New Roman" w:cs="Times New Roman"/>
          <w:b/>
          <w:bCs/>
          <w:sz w:val="30"/>
          <w:szCs w:val="30"/>
        </w:rPr>
        <w:t>Выдача кодов маркировки российского образца.</w:t>
      </w:r>
    </w:p>
    <w:p w14:paraId="7B69427A" w14:textId="6F9C812B" w:rsidR="00E742A8" w:rsidRDefault="004900BB" w:rsidP="00F85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5707D0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="00C61D0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убъектам</w:t>
      </w:r>
      <w:proofErr w:type="spellEnd"/>
      <w:r w:rsidR="00C61D0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хозяйствования</w:t>
      </w:r>
      <w:r w:rsidR="005A252A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Республики Беларусь</w:t>
      </w:r>
      <w:r w:rsidR="007B33DB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</w:t>
      </w:r>
      <w:r w:rsidR="00C61D0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предоставлена возможность получения кодов маркировки российского образца у национального оператора системы маркировки РУП «Издательство «</w:t>
      </w:r>
      <w:proofErr w:type="spellStart"/>
      <w:r w:rsidR="00C61D0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Белбланкавыд</w:t>
      </w:r>
      <w:proofErr w:type="spellEnd"/>
      <w:r w:rsidR="00C61D0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» для осуществления маркировки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</w:t>
      </w:r>
      <w:r w:rsidR="0002608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следующих наименований </w:t>
      </w:r>
      <w:r w:rsidR="00022DFE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радиоэлектронной продукции</w:t>
      </w:r>
      <w:r w:rsidR="0002608D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,</w:t>
      </w:r>
      <w:r w:rsidR="00022DFE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поставляем</w:t>
      </w:r>
      <w:r w:rsidR="00E742A8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ой 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на территорию Российской Федерации</w:t>
      </w:r>
      <w:r w:rsidR="00735B7E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:</w:t>
      </w:r>
    </w:p>
    <w:p w14:paraId="3F32310F" w14:textId="77777777" w:rsidR="00735B7E" w:rsidRPr="005707D0" w:rsidRDefault="00735B7E" w:rsidP="00F85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950"/>
        <w:gridCol w:w="8"/>
      </w:tblGrid>
      <w:tr w:rsidR="005A252A" w:rsidRPr="005A252A" w14:paraId="0071237E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7C59EFAF" w14:textId="75EB5355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Код ТН ВЭД ЕАЭС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214D0A62" w14:textId="5775F88C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Наименование</w:t>
            </w:r>
          </w:p>
        </w:tc>
      </w:tr>
      <w:tr w:rsidR="005A252A" w:rsidRPr="005A252A" w14:paraId="6526809F" w14:textId="77777777" w:rsidTr="005A252A">
        <w:trPr>
          <w:trHeight w:val="170"/>
        </w:trPr>
        <w:tc>
          <w:tcPr>
            <w:tcW w:w="9788" w:type="dxa"/>
            <w:gridSpan w:val="3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6869C4A" w14:textId="165624FB" w:rsidR="005A252A" w:rsidRPr="005A252A" w:rsidRDefault="005A252A" w:rsidP="002F56B3">
            <w:pPr>
              <w:tabs>
                <w:tab w:val="left" w:pos="1446"/>
                <w:tab w:val="left" w:pos="1583"/>
              </w:tabs>
              <w:spacing w:after="0" w:line="240" w:lineRule="auto"/>
              <w:ind w:left="6" w:right="-252" w:firstLine="1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с 01.05.2026:</w:t>
            </w:r>
          </w:p>
        </w:tc>
      </w:tr>
      <w:tr w:rsidR="005A252A" w:rsidRPr="005A252A" w14:paraId="136165F8" w14:textId="77777777" w:rsidTr="005A252A">
        <w:trPr>
          <w:gridAfter w:val="1"/>
          <w:wAfter w:w="8" w:type="dxa"/>
          <w:trHeight w:val="360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2CE95200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8504 40 830 0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0DFB857F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выпрямители</w:t>
            </w:r>
          </w:p>
        </w:tc>
      </w:tr>
      <w:tr w:rsidR="005A252A" w:rsidRPr="005A252A" w14:paraId="3963B9B0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1A9184AE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8504 40 910 0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5B9BD9C8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преобразователи статические</w:t>
            </w:r>
          </w:p>
        </w:tc>
      </w:tr>
      <w:tr w:rsidR="005A252A" w:rsidRPr="005A252A" w14:paraId="70ADED78" w14:textId="77777777" w:rsidTr="005A252A">
        <w:trPr>
          <w:gridAfter w:val="1"/>
          <w:wAfter w:w="8" w:type="dxa"/>
          <w:trHeight w:val="194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7547CF45" w14:textId="37FB2BCF" w:rsidR="004D7304" w:rsidRPr="005A252A" w:rsidRDefault="004D7304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8512 20 000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5EE77630" w14:textId="39CC6982" w:rsidR="004D7304" w:rsidRPr="005A252A" w:rsidRDefault="004D7304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приборы освещения или визуальной сигнализации, используемые на моторных транспортных средствах</w:t>
            </w:r>
          </w:p>
        </w:tc>
      </w:tr>
      <w:tr w:rsidR="005A252A" w:rsidRPr="005A252A" w14:paraId="3599A9FC" w14:textId="77777777" w:rsidTr="005A252A">
        <w:trPr>
          <w:gridAfter w:val="1"/>
          <w:wAfter w:w="8" w:type="dxa"/>
          <w:trHeight w:val="194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0F832618" w14:textId="71F87ABD" w:rsidR="004D7304" w:rsidRPr="005A252A" w:rsidRDefault="004D7304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8513 10 000 0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559157A" w14:textId="64898EAF" w:rsidR="004D7304" w:rsidRPr="005A252A" w:rsidRDefault="004D7304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фонари портативные электрические, работающие от собственного источника энергии</w:t>
            </w:r>
          </w:p>
        </w:tc>
      </w:tr>
      <w:tr w:rsidR="005A252A" w:rsidRPr="005A252A" w14:paraId="38C16181" w14:textId="77777777" w:rsidTr="005A252A">
        <w:trPr>
          <w:gridAfter w:val="1"/>
          <w:wAfter w:w="8" w:type="dxa"/>
          <w:trHeight w:val="194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572391C9" w14:textId="16BB72A4" w:rsidR="004D7304" w:rsidRPr="005A252A" w:rsidRDefault="004D7304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8534 00 110 0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0A9CB466" w14:textId="3029B6F9" w:rsidR="004D7304" w:rsidRPr="005A252A" w:rsidRDefault="004D7304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многослойные печатные схемы, состоящие только из токопроводящих элементов и контактов</w:t>
            </w:r>
          </w:p>
        </w:tc>
      </w:tr>
      <w:tr w:rsidR="005A252A" w:rsidRPr="005A252A" w14:paraId="0E831179" w14:textId="77777777" w:rsidTr="005A252A">
        <w:trPr>
          <w:gridAfter w:val="1"/>
          <w:wAfter w:w="8" w:type="dxa"/>
          <w:trHeight w:val="194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7F30EFAD" w14:textId="4B5D4D8A" w:rsidR="004D7304" w:rsidRPr="005A252A" w:rsidRDefault="004D7304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8534 00 190 0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1367C1D0" w14:textId="5574943A" w:rsidR="004D7304" w:rsidRPr="005A252A" w:rsidRDefault="004D7304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печатные схемы, состоящие только из токопроводящих элементов и контактов</w:t>
            </w:r>
          </w:p>
        </w:tc>
      </w:tr>
      <w:tr w:rsidR="005A252A" w:rsidRPr="005A252A" w14:paraId="01755CAB" w14:textId="77777777" w:rsidTr="005A252A">
        <w:trPr>
          <w:gridAfter w:val="1"/>
          <w:wAfter w:w="8" w:type="dxa"/>
          <w:trHeight w:val="194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1DAC9CA" w14:textId="746760E4" w:rsidR="004D7304" w:rsidRPr="005A252A" w:rsidRDefault="004D7304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8534 00 900 0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17C1D1B" w14:textId="3CFCF347" w:rsidR="004D7304" w:rsidRPr="005A252A" w:rsidRDefault="004D7304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печатные схемы с пассивными элементами</w:t>
            </w:r>
          </w:p>
        </w:tc>
      </w:tr>
      <w:tr w:rsidR="005A252A" w:rsidRPr="005A252A" w14:paraId="69CAC39B" w14:textId="77777777" w:rsidTr="005A252A">
        <w:trPr>
          <w:gridAfter w:val="1"/>
          <w:wAfter w:w="8" w:type="dxa"/>
          <w:trHeight w:val="194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41D76530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8536 49 000 0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7F51AA84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реле на напряжение не более 1000 В</w:t>
            </w:r>
          </w:p>
        </w:tc>
      </w:tr>
      <w:tr w:rsidR="005A252A" w:rsidRPr="005A252A" w14:paraId="00625E26" w14:textId="77777777" w:rsidTr="005A252A">
        <w:trPr>
          <w:gridAfter w:val="1"/>
          <w:wAfter w:w="8" w:type="dxa"/>
          <w:trHeight w:val="246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22BF00E1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8536 69 900 8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14917CFA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штепсели</w:t>
            </w:r>
            <w:proofErr w:type="spellEnd"/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 xml:space="preserve"> и розетки</w:t>
            </w:r>
          </w:p>
        </w:tc>
      </w:tr>
      <w:tr w:rsidR="005A252A" w:rsidRPr="005A252A" w14:paraId="5113FC64" w14:textId="77777777" w:rsidTr="005A252A">
        <w:trPr>
          <w:gridAfter w:val="1"/>
          <w:wAfter w:w="8" w:type="dxa"/>
          <w:trHeight w:val="416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58C28BBB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8536 90 100 0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3A775A0E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соединители и контактные элементы для проводов и кабелей на напряжение не более 1000 В</w:t>
            </w:r>
          </w:p>
        </w:tc>
      </w:tr>
      <w:tr w:rsidR="005A252A" w:rsidRPr="005A252A" w14:paraId="65F10DE3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06C673B4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8536 90 850 0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06517F09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аппаратура электрическая для коммутации или защиты электрических цепей или для подсоединений к электрическим цепям или в электрических цепях на напряжение не более 1000 В</w:t>
            </w:r>
          </w:p>
        </w:tc>
      </w:tr>
      <w:tr w:rsidR="005A252A" w:rsidRPr="005A252A" w14:paraId="3BF3F016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6BAE9D4C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6" w:hanging="12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8537 10 980 0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24D552AA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пульты, панели, консоли, столы, распределительные щиты и 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 том числе включающие в себя приборы или устройства группы 90 и цифровые аппараты управления, кроме коммутационных устройств товарной позиции 8517, на напряжение не более 1000 В</w:t>
            </w:r>
          </w:p>
        </w:tc>
      </w:tr>
      <w:tr w:rsidR="005A252A" w:rsidRPr="005A252A" w14:paraId="3AA63877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184E58AE" w14:textId="66610733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8539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10ACD924" w14:textId="3EADABFF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лампы накаливания или газоразрядные, электрические, включая лампы герметичные направленного света, а также ультрафиолетовые или инфракрасные лампы; дуговые лампы; источники света светодиодные (LED)</w:t>
            </w:r>
          </w:p>
        </w:tc>
      </w:tr>
      <w:tr w:rsidR="005A252A" w:rsidRPr="005A252A" w14:paraId="30AD9DF5" w14:textId="77777777" w:rsidTr="00735B7E">
        <w:trPr>
          <w:gridAfter w:val="1"/>
          <w:wAfter w:w="8" w:type="dxa"/>
          <w:trHeight w:val="1067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15D10C9E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8541 41 000,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8541 42 000 0,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8541 43 000 0,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8541 49 000 0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0FDDC5A5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приборы полупроводниковые фоточувствительные, включая фотогальванические элементы, собранные или не собранные в модули, вмонтированные или не вмонтированные в панели; светодиоды (LED)</w:t>
            </w:r>
          </w:p>
        </w:tc>
      </w:tr>
      <w:tr w:rsidR="005A252A" w:rsidRPr="005A252A" w14:paraId="442BE2EC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68C409B7" w14:textId="77777777" w:rsidR="00F93F19" w:rsidRPr="005A252A" w:rsidRDefault="00F93F19" w:rsidP="002F56B3">
            <w:pPr>
              <w:tabs>
                <w:tab w:val="left" w:pos="1583"/>
              </w:tabs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9405 11 00,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9405 19 00,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9405 21 00,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9405 29 00,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9405 31 000 0,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9405 39 000 0,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9405 41 00,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9405 42 00,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9405 49 00,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9405 92 000 8,</w:t>
            </w: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9405 99 000 8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  <w:hideMark/>
          </w:tcPr>
          <w:p w14:paraId="43B59E0D" w14:textId="77777777" w:rsidR="00F93F19" w:rsidRPr="005A252A" w:rsidRDefault="00F93F19" w:rsidP="005A252A">
            <w:pPr>
              <w:tabs>
                <w:tab w:val="left" w:pos="1446"/>
              </w:tabs>
              <w:spacing w:after="0" w:line="240" w:lineRule="auto"/>
              <w:ind w:left="-115" w:right="-25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светильники и осветительное оборудование, включая прожекторы, лампы узконаправленного света, фары и их части</w:t>
            </w:r>
          </w:p>
        </w:tc>
      </w:tr>
      <w:tr w:rsidR="005A252A" w:rsidRPr="005A252A" w14:paraId="48CECF66" w14:textId="77777777" w:rsidTr="005A252A">
        <w:tc>
          <w:tcPr>
            <w:tcW w:w="9788" w:type="dxa"/>
            <w:gridSpan w:val="3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DE9AE41" w14:textId="0F94BF1B" w:rsidR="005A252A" w:rsidRPr="005A252A" w:rsidRDefault="005A252A" w:rsidP="002F56B3">
            <w:pPr>
              <w:tabs>
                <w:tab w:val="left" w:pos="1446"/>
                <w:tab w:val="left" w:pos="1583"/>
              </w:tabs>
              <w:spacing w:after="0" w:line="240" w:lineRule="auto"/>
              <w:ind w:left="-121" w:right="-25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с 07.05.2026</w:t>
            </w:r>
          </w:p>
        </w:tc>
      </w:tr>
      <w:tr w:rsidR="005A252A" w:rsidRPr="005A252A" w14:paraId="16F1E4C8" w14:textId="77777777" w:rsidTr="005A252A">
        <w:trPr>
          <w:gridAfter w:val="1"/>
          <w:wAfter w:w="8" w:type="dxa"/>
          <w:trHeight w:val="232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6F160423" w14:textId="50668430" w:rsidR="005A252A" w:rsidRPr="005A252A" w:rsidRDefault="005A252A" w:rsidP="002F56B3">
            <w:pPr>
              <w:tabs>
                <w:tab w:val="left" w:pos="1583"/>
              </w:tabs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8517 11 000 0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AA99625" w14:textId="17EAE9A7" w:rsidR="005A252A" w:rsidRPr="005A252A" w:rsidRDefault="005A252A" w:rsidP="005A252A">
            <w:pPr>
              <w:tabs>
                <w:tab w:val="left" w:pos="1446"/>
              </w:tabs>
              <w:spacing w:after="0" w:line="240" w:lineRule="auto"/>
              <w:ind w:left="-115" w:right="-252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телефонные аппараты для проводной связи с беспроводной трубкой</w:t>
            </w:r>
          </w:p>
        </w:tc>
      </w:tr>
      <w:tr w:rsidR="005A252A" w:rsidRPr="005A252A" w14:paraId="292178CB" w14:textId="77777777" w:rsidTr="005A252A">
        <w:trPr>
          <w:gridAfter w:val="1"/>
          <w:wAfter w:w="8" w:type="dxa"/>
        </w:trPr>
        <w:tc>
          <w:tcPr>
            <w:tcW w:w="283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38C53010" w14:textId="594470F5" w:rsidR="005A252A" w:rsidRPr="005A252A" w:rsidRDefault="005A252A" w:rsidP="002F56B3">
            <w:pPr>
              <w:tabs>
                <w:tab w:val="left" w:pos="1583"/>
              </w:tabs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A25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8517 18 000 0</w:t>
            </w:r>
          </w:p>
        </w:tc>
        <w:tc>
          <w:tcPr>
            <w:tcW w:w="6950" w:type="dxa"/>
            <w:shd w:val="clear" w:color="auto" w:fill="FFFFFF"/>
            <w:tcMar>
              <w:top w:w="179" w:type="dxa"/>
              <w:left w:w="255" w:type="dxa"/>
              <w:bottom w:w="179" w:type="dxa"/>
              <w:right w:w="255" w:type="dxa"/>
            </w:tcMar>
            <w:vAlign w:val="center"/>
          </w:tcPr>
          <w:p w14:paraId="7FD1A7DB" w14:textId="461E5AA8" w:rsidR="005A252A" w:rsidRPr="005A252A" w:rsidRDefault="005A252A" w:rsidP="005A252A">
            <w:pPr>
              <w:tabs>
                <w:tab w:val="left" w:pos="1446"/>
              </w:tabs>
              <w:spacing w:after="0" w:line="240" w:lineRule="auto"/>
              <w:ind w:left="-115" w:right="-252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телефонные аппараты</w:t>
            </w:r>
          </w:p>
        </w:tc>
      </w:tr>
    </w:tbl>
    <w:p w14:paraId="76B61FAA" w14:textId="77777777" w:rsidR="00F93F19" w:rsidRDefault="00F93F19" w:rsidP="00F85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09320674" w14:textId="2F2D016E" w:rsidR="00022DFE" w:rsidRPr="005707D0" w:rsidRDefault="00022DFE" w:rsidP="00F85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5707D0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Маркировка мобильных телефонов, планшетов и ноутбуков.</w:t>
      </w:r>
    </w:p>
    <w:p w14:paraId="2B29F259" w14:textId="77777777" w:rsidR="005A252A" w:rsidRDefault="005A252A" w:rsidP="005A25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ACFCAC1" w14:textId="6A45094B" w:rsidR="002C3526" w:rsidRPr="005A252A" w:rsidRDefault="00022DFE" w:rsidP="005A25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С 07.05.2026</w:t>
      </w:r>
      <w:r w:rsidR="005A252A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</w:t>
      </w:r>
      <w:r w:rsidR="00C46A5F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обеспечено 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взаимное признание </w:t>
      </w:r>
      <w:r w:rsidR="00F215F7"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кодов маркировки между Республикой Беларусь и Российской Федерацией 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в отношении 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планшетов и ноутбуков (код 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ТН ВЭД ЕАЭС 8471 30 000 0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)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, 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смартфонов и других мобильных телефонов (коды ТН ВЭД 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8517 13 000 0, 8517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 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14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 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000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 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0</w:t>
      </w:r>
      <w:r w:rsidR="0028456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)</w:t>
      </w:r>
      <w:r w:rsidRPr="005707D0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.</w:t>
      </w:r>
    </w:p>
    <w:sectPr w:rsidR="002C3526" w:rsidRPr="005A252A" w:rsidSect="00735B7E">
      <w:headerReference w:type="default" r:id="rId8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AFC9B" w14:textId="77777777" w:rsidR="00563EF7" w:rsidRDefault="00563EF7" w:rsidP="00316780">
      <w:pPr>
        <w:spacing w:after="0" w:line="240" w:lineRule="auto"/>
      </w:pPr>
      <w:r>
        <w:separator/>
      </w:r>
    </w:p>
  </w:endnote>
  <w:endnote w:type="continuationSeparator" w:id="0">
    <w:p w14:paraId="22306001" w14:textId="77777777" w:rsidR="00563EF7" w:rsidRDefault="00563EF7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5DA5E" w14:textId="77777777" w:rsidR="00563EF7" w:rsidRDefault="00563EF7" w:rsidP="00316780">
      <w:pPr>
        <w:spacing w:after="0" w:line="240" w:lineRule="auto"/>
      </w:pPr>
      <w:r>
        <w:separator/>
      </w:r>
    </w:p>
  </w:footnote>
  <w:footnote w:type="continuationSeparator" w:id="0">
    <w:p w14:paraId="193DB05D" w14:textId="77777777" w:rsidR="00563EF7" w:rsidRDefault="00563EF7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633D784C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DE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52E"/>
    <w:multiLevelType w:val="hybridMultilevel"/>
    <w:tmpl w:val="9850A714"/>
    <w:lvl w:ilvl="0" w:tplc="021C40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70729"/>
    <w:multiLevelType w:val="multilevel"/>
    <w:tmpl w:val="B8E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E30DE"/>
    <w:multiLevelType w:val="hybridMultilevel"/>
    <w:tmpl w:val="B14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01BA7"/>
    <w:rsid w:val="00020A37"/>
    <w:rsid w:val="00020E9D"/>
    <w:rsid w:val="00022DFE"/>
    <w:rsid w:val="0002608D"/>
    <w:rsid w:val="00046E9B"/>
    <w:rsid w:val="00054FBE"/>
    <w:rsid w:val="000566BB"/>
    <w:rsid w:val="000705C7"/>
    <w:rsid w:val="000852A0"/>
    <w:rsid w:val="00095AA7"/>
    <w:rsid w:val="000A3AF6"/>
    <w:rsid w:val="000B208B"/>
    <w:rsid w:val="000D1E84"/>
    <w:rsid w:val="000F7BDC"/>
    <w:rsid w:val="001067CC"/>
    <w:rsid w:val="00112D6B"/>
    <w:rsid w:val="00135A2C"/>
    <w:rsid w:val="00142AAA"/>
    <w:rsid w:val="00147AA2"/>
    <w:rsid w:val="001507D8"/>
    <w:rsid w:val="00154BB7"/>
    <w:rsid w:val="00166558"/>
    <w:rsid w:val="00177FE2"/>
    <w:rsid w:val="00192A84"/>
    <w:rsid w:val="001B77A9"/>
    <w:rsid w:val="001C1313"/>
    <w:rsid w:val="001C2165"/>
    <w:rsid w:val="001C44B2"/>
    <w:rsid w:val="001D63E2"/>
    <w:rsid w:val="001E2CCC"/>
    <w:rsid w:val="001F1A1F"/>
    <w:rsid w:val="00207129"/>
    <w:rsid w:val="00211350"/>
    <w:rsid w:val="00212724"/>
    <w:rsid w:val="002130D9"/>
    <w:rsid w:val="00215E72"/>
    <w:rsid w:val="00244A59"/>
    <w:rsid w:val="002604B6"/>
    <w:rsid w:val="00277B15"/>
    <w:rsid w:val="00284567"/>
    <w:rsid w:val="00285959"/>
    <w:rsid w:val="002B6FB8"/>
    <w:rsid w:val="002C3526"/>
    <w:rsid w:val="002C566F"/>
    <w:rsid w:val="002C7BB6"/>
    <w:rsid w:val="002D4D85"/>
    <w:rsid w:val="002D6876"/>
    <w:rsid w:val="002E1020"/>
    <w:rsid w:val="002F1159"/>
    <w:rsid w:val="002F56B3"/>
    <w:rsid w:val="003142E9"/>
    <w:rsid w:val="00316780"/>
    <w:rsid w:val="00320218"/>
    <w:rsid w:val="0033693F"/>
    <w:rsid w:val="00340B15"/>
    <w:rsid w:val="003444AB"/>
    <w:rsid w:val="00345B9C"/>
    <w:rsid w:val="00350F81"/>
    <w:rsid w:val="003549AD"/>
    <w:rsid w:val="00366283"/>
    <w:rsid w:val="00375BEC"/>
    <w:rsid w:val="00376384"/>
    <w:rsid w:val="00377719"/>
    <w:rsid w:val="00394D00"/>
    <w:rsid w:val="003A6EFE"/>
    <w:rsid w:val="003A77A7"/>
    <w:rsid w:val="003A7876"/>
    <w:rsid w:val="003B7E3E"/>
    <w:rsid w:val="003C13A1"/>
    <w:rsid w:val="003D3EA9"/>
    <w:rsid w:val="003F218C"/>
    <w:rsid w:val="003F561D"/>
    <w:rsid w:val="00400C57"/>
    <w:rsid w:val="0040229E"/>
    <w:rsid w:val="004542D6"/>
    <w:rsid w:val="0046140A"/>
    <w:rsid w:val="0046373D"/>
    <w:rsid w:val="0046452B"/>
    <w:rsid w:val="00466DE8"/>
    <w:rsid w:val="00466FF9"/>
    <w:rsid w:val="00470FCB"/>
    <w:rsid w:val="004805FE"/>
    <w:rsid w:val="004900BB"/>
    <w:rsid w:val="004971E6"/>
    <w:rsid w:val="004A297C"/>
    <w:rsid w:val="004B2FE0"/>
    <w:rsid w:val="004B61B8"/>
    <w:rsid w:val="004C4344"/>
    <w:rsid w:val="004D7304"/>
    <w:rsid w:val="004E4D11"/>
    <w:rsid w:val="004F0FA6"/>
    <w:rsid w:val="005002C8"/>
    <w:rsid w:val="00511607"/>
    <w:rsid w:val="005477C8"/>
    <w:rsid w:val="005500EF"/>
    <w:rsid w:val="005527F6"/>
    <w:rsid w:val="00553736"/>
    <w:rsid w:val="00563EF7"/>
    <w:rsid w:val="005707D0"/>
    <w:rsid w:val="00571489"/>
    <w:rsid w:val="0058516A"/>
    <w:rsid w:val="0059507F"/>
    <w:rsid w:val="0059590D"/>
    <w:rsid w:val="005A252A"/>
    <w:rsid w:val="005B50C4"/>
    <w:rsid w:val="005C3C71"/>
    <w:rsid w:val="005C3E9E"/>
    <w:rsid w:val="005C63FF"/>
    <w:rsid w:val="005D52B1"/>
    <w:rsid w:val="005E7D0F"/>
    <w:rsid w:val="005F768D"/>
    <w:rsid w:val="006147F3"/>
    <w:rsid w:val="00640A20"/>
    <w:rsid w:val="006474A9"/>
    <w:rsid w:val="00647A80"/>
    <w:rsid w:val="006565B6"/>
    <w:rsid w:val="006608AA"/>
    <w:rsid w:val="00660FED"/>
    <w:rsid w:val="00666EBC"/>
    <w:rsid w:val="00676ABA"/>
    <w:rsid w:val="006A40C4"/>
    <w:rsid w:val="006B4C2B"/>
    <w:rsid w:val="006C380D"/>
    <w:rsid w:val="006D048E"/>
    <w:rsid w:val="006D4EE3"/>
    <w:rsid w:val="0071027C"/>
    <w:rsid w:val="007202E6"/>
    <w:rsid w:val="007233A0"/>
    <w:rsid w:val="00731E0F"/>
    <w:rsid w:val="007320AC"/>
    <w:rsid w:val="00735B7E"/>
    <w:rsid w:val="0074296D"/>
    <w:rsid w:val="00766EAD"/>
    <w:rsid w:val="007776BA"/>
    <w:rsid w:val="00792946"/>
    <w:rsid w:val="007A4443"/>
    <w:rsid w:val="007B17A5"/>
    <w:rsid w:val="007B32AC"/>
    <w:rsid w:val="007B33DB"/>
    <w:rsid w:val="007B69F9"/>
    <w:rsid w:val="007D3EB2"/>
    <w:rsid w:val="007F047A"/>
    <w:rsid w:val="007F5849"/>
    <w:rsid w:val="00830A80"/>
    <w:rsid w:val="00830E5C"/>
    <w:rsid w:val="00840365"/>
    <w:rsid w:val="00843DBB"/>
    <w:rsid w:val="00850A62"/>
    <w:rsid w:val="00851A61"/>
    <w:rsid w:val="008567F1"/>
    <w:rsid w:val="008572E5"/>
    <w:rsid w:val="008611F7"/>
    <w:rsid w:val="00865CDE"/>
    <w:rsid w:val="00883019"/>
    <w:rsid w:val="008958C2"/>
    <w:rsid w:val="00896501"/>
    <w:rsid w:val="008A7A83"/>
    <w:rsid w:val="008B0220"/>
    <w:rsid w:val="008B72BE"/>
    <w:rsid w:val="008C0888"/>
    <w:rsid w:val="008D17BB"/>
    <w:rsid w:val="008F45EF"/>
    <w:rsid w:val="009178F8"/>
    <w:rsid w:val="009206FD"/>
    <w:rsid w:val="00926705"/>
    <w:rsid w:val="00942A4F"/>
    <w:rsid w:val="00943A6F"/>
    <w:rsid w:val="00994F3C"/>
    <w:rsid w:val="009B2A37"/>
    <w:rsid w:val="009B3EAC"/>
    <w:rsid w:val="009D4986"/>
    <w:rsid w:val="009E5D15"/>
    <w:rsid w:val="009F7B04"/>
    <w:rsid w:val="00A00B0C"/>
    <w:rsid w:val="00A03B40"/>
    <w:rsid w:val="00A05110"/>
    <w:rsid w:val="00A06333"/>
    <w:rsid w:val="00A14165"/>
    <w:rsid w:val="00A27C26"/>
    <w:rsid w:val="00A3537C"/>
    <w:rsid w:val="00A37F3B"/>
    <w:rsid w:val="00A45FD9"/>
    <w:rsid w:val="00A50992"/>
    <w:rsid w:val="00A5213D"/>
    <w:rsid w:val="00A5515C"/>
    <w:rsid w:val="00A719C5"/>
    <w:rsid w:val="00A75C18"/>
    <w:rsid w:val="00A77B0D"/>
    <w:rsid w:val="00A84EC0"/>
    <w:rsid w:val="00AA548C"/>
    <w:rsid w:val="00AA6C4A"/>
    <w:rsid w:val="00AB43D7"/>
    <w:rsid w:val="00AD3AAA"/>
    <w:rsid w:val="00AD406D"/>
    <w:rsid w:val="00AD40FC"/>
    <w:rsid w:val="00AF2F64"/>
    <w:rsid w:val="00AF7969"/>
    <w:rsid w:val="00B01580"/>
    <w:rsid w:val="00B03E74"/>
    <w:rsid w:val="00B05058"/>
    <w:rsid w:val="00B22DE7"/>
    <w:rsid w:val="00B306CE"/>
    <w:rsid w:val="00B33024"/>
    <w:rsid w:val="00B3712D"/>
    <w:rsid w:val="00B70A4C"/>
    <w:rsid w:val="00B75AE4"/>
    <w:rsid w:val="00B75CCE"/>
    <w:rsid w:val="00B76CF8"/>
    <w:rsid w:val="00B91C5E"/>
    <w:rsid w:val="00BB065E"/>
    <w:rsid w:val="00BB18CD"/>
    <w:rsid w:val="00BC4807"/>
    <w:rsid w:val="00BD1503"/>
    <w:rsid w:val="00BE7A3A"/>
    <w:rsid w:val="00BF31CB"/>
    <w:rsid w:val="00BF7703"/>
    <w:rsid w:val="00C00FF5"/>
    <w:rsid w:val="00C05853"/>
    <w:rsid w:val="00C15DE1"/>
    <w:rsid w:val="00C17254"/>
    <w:rsid w:val="00C20DE2"/>
    <w:rsid w:val="00C223FF"/>
    <w:rsid w:val="00C251F1"/>
    <w:rsid w:val="00C43916"/>
    <w:rsid w:val="00C46A5F"/>
    <w:rsid w:val="00C47301"/>
    <w:rsid w:val="00C539A1"/>
    <w:rsid w:val="00C53AEB"/>
    <w:rsid w:val="00C54B87"/>
    <w:rsid w:val="00C61D0D"/>
    <w:rsid w:val="00C65605"/>
    <w:rsid w:val="00C66FFF"/>
    <w:rsid w:val="00C67E32"/>
    <w:rsid w:val="00C84697"/>
    <w:rsid w:val="00C9001A"/>
    <w:rsid w:val="00CA0346"/>
    <w:rsid w:val="00CA3BFE"/>
    <w:rsid w:val="00CA4EBC"/>
    <w:rsid w:val="00CC518A"/>
    <w:rsid w:val="00CD1E23"/>
    <w:rsid w:val="00CD5041"/>
    <w:rsid w:val="00CE0344"/>
    <w:rsid w:val="00D01B68"/>
    <w:rsid w:val="00D26368"/>
    <w:rsid w:val="00D37B78"/>
    <w:rsid w:val="00D5164A"/>
    <w:rsid w:val="00D613EB"/>
    <w:rsid w:val="00D77934"/>
    <w:rsid w:val="00D82D12"/>
    <w:rsid w:val="00DA28BC"/>
    <w:rsid w:val="00DB0EF2"/>
    <w:rsid w:val="00DE6E79"/>
    <w:rsid w:val="00DF68D1"/>
    <w:rsid w:val="00DF72C2"/>
    <w:rsid w:val="00E01845"/>
    <w:rsid w:val="00E218EF"/>
    <w:rsid w:val="00E35921"/>
    <w:rsid w:val="00E35D56"/>
    <w:rsid w:val="00E36C98"/>
    <w:rsid w:val="00E4063A"/>
    <w:rsid w:val="00E43E1E"/>
    <w:rsid w:val="00E640F0"/>
    <w:rsid w:val="00E731DA"/>
    <w:rsid w:val="00E742A8"/>
    <w:rsid w:val="00E7782F"/>
    <w:rsid w:val="00E97E80"/>
    <w:rsid w:val="00EA0797"/>
    <w:rsid w:val="00EC0AB7"/>
    <w:rsid w:val="00EC4B82"/>
    <w:rsid w:val="00EC74C7"/>
    <w:rsid w:val="00EE0653"/>
    <w:rsid w:val="00EE0F57"/>
    <w:rsid w:val="00F01372"/>
    <w:rsid w:val="00F03209"/>
    <w:rsid w:val="00F0589B"/>
    <w:rsid w:val="00F16C83"/>
    <w:rsid w:val="00F2041B"/>
    <w:rsid w:val="00F215F7"/>
    <w:rsid w:val="00F2623F"/>
    <w:rsid w:val="00F40F8B"/>
    <w:rsid w:val="00F41652"/>
    <w:rsid w:val="00F454F1"/>
    <w:rsid w:val="00F50C7A"/>
    <w:rsid w:val="00F515BA"/>
    <w:rsid w:val="00F619D7"/>
    <w:rsid w:val="00F75A7F"/>
    <w:rsid w:val="00F8257E"/>
    <w:rsid w:val="00F85326"/>
    <w:rsid w:val="00F93F19"/>
    <w:rsid w:val="00FA2C98"/>
    <w:rsid w:val="00FA3574"/>
    <w:rsid w:val="00FA6676"/>
    <w:rsid w:val="00FB5AF7"/>
    <w:rsid w:val="00FC31FF"/>
    <w:rsid w:val="00FD02BF"/>
    <w:rsid w:val="00FD0BC7"/>
    <w:rsid w:val="00FD47CE"/>
    <w:rsid w:val="00FD62B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6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  <w:style w:type="character" w:customStyle="1" w:styleId="itemtext1">
    <w:name w:val="itemtext1"/>
    <w:basedOn w:val="a0"/>
    <w:rsid w:val="00375BEC"/>
    <w:rPr>
      <w:rFonts w:ascii="Segoe UI" w:hAnsi="Segoe UI" w:cs="Segoe UI" w:hint="default"/>
      <w:color w:val="000000"/>
      <w:sz w:val="20"/>
      <w:szCs w:val="20"/>
    </w:rPr>
  </w:style>
  <w:style w:type="character" w:customStyle="1" w:styleId="docy">
    <w:name w:val="docy"/>
    <w:basedOn w:val="a0"/>
    <w:rsid w:val="00E742A8"/>
  </w:style>
  <w:style w:type="character" w:styleId="af7">
    <w:name w:val="Strong"/>
    <w:basedOn w:val="a0"/>
    <w:uiPriority w:val="22"/>
    <w:qFormat/>
    <w:rsid w:val="00022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7598-54E3-4842-A242-70457F34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2026-05-29T06:22:00Z</dcterms:created>
  <dcterms:modified xsi:type="dcterms:W3CDTF">2026-05-29T06:22:00Z</dcterms:modified>
</cp:coreProperties>
</file>